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会议纪要：王猛谈AI应用实践与开源框架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一、会议基本信息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会议主题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AI应用实践与开源框架分享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会议时间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2026年7月11日 15:06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主讲人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王猛（从业十余年企业教练、资深敏捷教练、CPT专业教练，活跃于天津/上海/北京技术社区）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分享时长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约25分钟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二、分享框架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本次分享围绕主讲人在AI应用实践中的真实经验教训展开，分为四部分：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AI认知转变</w:t>
      </w:r>
      <w:r>
        <w:rPr>
          <w:rFonts w:ascii="宋体" w:hAnsi="宋体" w:eastAsia="宋体"/>
          <w:b w:val="0"/>
          <w:sz w:val="24"/>
        </w:rPr>
        <w:t>——从"管人"到"管电"的思维切换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实践中的问题发现</w:t>
      </w:r>
      <w:r>
        <w:rPr>
          <w:rFonts w:ascii="宋体" w:hAnsi="宋体" w:eastAsia="宋体"/>
          <w:b w:val="0"/>
          <w:sz w:val="24"/>
        </w:rPr>
        <w:t>——五大失败模式与应对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开源产品体系</w:t>
      </w:r>
      <w:r>
        <w:rPr>
          <w:rFonts w:ascii="宋体" w:hAnsi="宋体" w:eastAsia="宋体"/>
          <w:b w:val="0"/>
          <w:sz w:val="24"/>
        </w:rPr>
        <w:t>——Agent Runner、脱敏工具、Ada Studio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/>
          <w:sz w:val="24"/>
        </w:rPr>
        <w:t>应用建议与团队协作</w:t>
      </w:r>
      <w:r>
        <w:rPr>
          <w:rFonts w:ascii="宋体" w:hAnsi="宋体" w:eastAsia="宋体"/>
          <w:b w:val="0"/>
          <w:sz w:val="24"/>
        </w:rPr>
        <w:t>——团队规模与遗留项目处理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三、核心理念：AI是新时代的"电"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核心比喻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AI/智能体如同"新时代的电"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电流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企业需求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追求</w:t>
            </w:r>
            <w:r>
              <w:rPr>
                <w:rFonts w:ascii="宋体" w:hAnsi="宋体" w:eastAsia="宋体"/>
                <w:b/>
                <w:sz w:val="20"/>
              </w:rPr>
              <w:t>确定性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墙上插座必须标准化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管理需求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布线、断路器、开关、电表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基础设施配套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成熟阶段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当前尚在早期，缺标准配套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电力革命初期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管理思路的根本转变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误区</w:t>
      </w:r>
      <w:r>
        <w:rPr>
          <w:rFonts w:ascii="宋体" w:hAnsi="宋体" w:eastAsia="宋体"/>
          <w:b w:val="0"/>
          <w:sz w:val="24"/>
        </w:rPr>
        <w:t>：用"管人"的方式管理AI智能体（如试图让Agent有羞耻感、承诺感）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正解</w:t>
      </w:r>
      <w:r>
        <w:rPr>
          <w:rFonts w:ascii="宋体" w:hAnsi="宋体" w:eastAsia="宋体"/>
          <w:b w:val="0"/>
          <w:sz w:val="24"/>
        </w:rPr>
        <w:t>：用"管电"的方式管理AI——电永远走阻抗最低的路径，需要人为布线引导流向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类比</w:t>
      </w:r>
      <w:r>
        <w:rPr>
          <w:rFonts w:ascii="宋体" w:hAnsi="宋体" w:eastAsia="宋体"/>
          <w:b w:val="0"/>
          <w:sz w:val="24"/>
        </w:rPr>
        <w:t>：人类协作中的站会、看板、卡片、文档，本质就是"人类智慧的布线系统"，让智力流向最省力方向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3.3 AI效果衡量指标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Agent运行时间 : 人的控制时间</w:t>
      </w:r>
      <w:r>
        <w:rPr>
          <w:rFonts w:ascii="宋体" w:hAnsi="宋体" w:eastAsia="宋体"/>
          <w:b w:val="0"/>
          <w:color w:val="4472C4"/>
          <w:sz w:val="22"/>
        </w:rPr>
        <w:t xml:space="preserve"> 的比例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追求目标：Agent独立运行时间尽可能长，人为干预时间尽可能短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个人实践：从"每天早起看Agent有没有捅娄子" → "青海湖骑行7天不管"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四、实践中的问题与失败模式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4.1 典型失败案例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4小时0产出</w:t>
      </w:r>
      <w:r>
        <w:rPr>
          <w:rFonts w:ascii="宋体" w:hAnsi="宋体" w:eastAsia="宋体"/>
          <w:b w:val="0"/>
          <w:sz w:val="24"/>
        </w:rPr>
        <w:t>：Agent自信地跑了123轮，0产出且无任何报警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灾难性后果</w:t>
      </w:r>
      <w:r>
        <w:rPr>
          <w:rFonts w:ascii="宋体" w:hAnsi="宋体" w:eastAsia="宋体"/>
          <w:b w:val="0"/>
          <w:sz w:val="24"/>
        </w:rPr>
        <w:t>：大模型执行</w:t>
      </w:r>
      <w:r>
        <w:rPr>
          <w:rFonts w:ascii="等线" w:hAnsi="等线" w:eastAsia="等线"/>
          <w:b w:val="0"/>
          <w:sz w:val="20"/>
        </w:rPr>
        <w:t>rm -f</w:t>
      </w:r>
      <w:r>
        <w:rPr>
          <w:rFonts w:ascii="宋体" w:hAnsi="宋体" w:eastAsia="宋体"/>
          <w:b w:val="0"/>
          <w:sz w:val="24"/>
        </w:rPr>
        <w:t>删除全部工作代码（呼应前场分享）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4.2 五大失败模式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提示词污染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公共提示词被加入无关内容，导致AI行为不一致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轮询挂死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子Agent卡在任务结果轮询，无法继续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同秒重复存档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多个Agent同时存储导致冲突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4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并发序号错乱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Stack操作序号错误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重启竞态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重启后新Agent与旧Agent进程冲突打架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经验教训</w:t>
      </w:r>
      <w:r>
        <w:rPr>
          <w:rFonts w:ascii="宋体" w:hAnsi="宋体" w:eastAsia="宋体"/>
          <w:b w:val="0"/>
          <w:color w:val="4472C4"/>
          <w:sz w:val="22"/>
        </w:rPr>
        <w:t>：停不停不由Agent自己说了算。最厉害的CLI工具，停不停也不能由其自决。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4.3 应对策略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断路器原则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跳不跳闸永远不由电流自己决定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超时后</w:t>
      </w:r>
      <w:r>
        <w:rPr>
          <w:rFonts w:ascii="宋体" w:hAnsi="宋体" w:eastAsia="宋体"/>
          <w:b/>
          <w:sz w:val="24"/>
        </w:rPr>
        <w:t>外层直接强制杀掉</w:t>
      </w:r>
      <w:r>
        <w:rPr>
          <w:rFonts w:ascii="宋体" w:hAnsi="宋体" w:eastAsia="宋体"/>
          <w:b w:val="0"/>
          <w:sz w:val="24"/>
        </w:rPr>
        <w:t>，不询问Agent意见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每次事故固化为一条模型之外的防御规则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轻量级Harness结构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超时杀掉机制（给Agent一定时间，超则杀）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进程隔离（Group Isolation）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垃圾文件/半成品文件清理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每加一条防御，就往结构化目录加一条，注明防御的是哪次历史事故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4.4 电表理念：对账机制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问题</w:t>
      </w:r>
      <w:r>
        <w:rPr>
          <w:rFonts w:ascii="宋体" w:hAnsi="宋体" w:eastAsia="宋体"/>
          <w:b w:val="0"/>
          <w:sz w:val="24"/>
        </w:rPr>
        <w:t>：Agent在日志中声称"我完成了"，但实际一行代码没写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解决</w:t>
      </w:r>
      <w:r>
        <w:rPr>
          <w:rFonts w:ascii="宋体" w:hAnsi="宋体" w:eastAsia="宋体"/>
          <w:b w:val="0"/>
          <w:sz w:val="24"/>
        </w:rPr>
        <w:t>：与真实工作成果对账（如Git提交数是否增加）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应用</w:t>
      </w:r>
      <w:r>
        <w:rPr>
          <w:rFonts w:ascii="宋体" w:hAnsi="宋体" w:eastAsia="宋体"/>
          <w:b w:val="0"/>
          <w:sz w:val="24"/>
        </w:rPr>
        <w:t>：制定</w:t>
      </w:r>
      <w:r>
        <w:rPr>
          <w:rFonts w:ascii="宋体" w:hAnsi="宋体" w:eastAsia="宋体"/>
          <w:b/>
          <w:sz w:val="24"/>
        </w:rPr>
        <w:t>200多条自动化测试</w:t>
      </w:r>
      <w:r>
        <w:rPr>
          <w:rFonts w:ascii="宋体" w:hAnsi="宋体" w:eastAsia="宋体"/>
          <w:b w:val="0"/>
          <w:sz w:val="24"/>
        </w:rPr>
        <w:t>约束Agent行为（例：Agent协作中不能出现"我"字，因为语义不明）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五、开源产品体系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5.1 Agent Runner（开源，Apache 2.0）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当前版本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0.2版本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用途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长时间运行CLI工具，保证Agent任务稳定执行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支持模型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DeepSeek、Claude、Gemini等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核心能力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插件化防御机制、超时控制、进程隔离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获取方式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开源下载，即主讲人正在树莓派上运行的版本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5.2 脱敏工具（核心用Rust编写）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背景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市场上脱敏工具不理想（如微软仅打码且不可逆）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架构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三层识别：正则匹配 → 词库匹配 → 大模型识别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创新点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假名化处理</w:t>
            </w:r>
            <w:r>
              <w:rPr>
                <w:rFonts w:ascii="宋体" w:hAnsi="宋体" w:eastAsia="宋体"/>
                <w:b w:val="0"/>
                <w:sz w:val="20"/>
              </w:rPr>
              <w:t>：将手机号/姓名等替换为假数据，后续可复原（非简单脱敏）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成果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已写成论文（被拒），代码开源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企业价值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满足国家法规对个人敏感信息传输的审计要求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5.3 Ada Studio（企业版）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性质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企业级产品，可申请免费试用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企业AI使用统计分析、智力流向控制、敏感信息审计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定位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企业的"电表"——控制整个企业智力的流向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六、团队协作与应用建议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6.1 最佳团队规模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最优团队人数：1-2人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理由：沟通成本低，达成共识效率高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引用"一个披萨团队"（7±2法则），但个人认为2人最佳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6.2 遗留项目处理建议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不建议一开始就用自动化工具</w:t>
      </w:r>
      <w:r>
        <w:rPr>
          <w:rFonts w:ascii="宋体" w:hAnsi="宋体" w:eastAsia="宋体"/>
          <w:b w:val="0"/>
          <w:sz w:val="24"/>
        </w:rPr>
        <w:t>对遗留项目进行修改和问题排查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原因：遗留项目复杂度高，自动化工具介入容易产生不可控结果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建议：先人工理解，再逐步引入AI辅助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6.3 实践路径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 w:val="0"/>
          <w:sz w:val="24"/>
        </w:rPr>
        <w:t>选择一个大的遗留项目，给出详细需求文档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 w:val="0"/>
          <w:sz w:val="24"/>
        </w:rPr>
        <w:t>让Agent尝试做一个大东西，观察其边界在哪里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 w:val="0"/>
          <w:sz w:val="24"/>
        </w:rPr>
        <w:t>发现Agent含糊/说假话的地方，反推需要什么样的防御机制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 w:val="0"/>
          <w:sz w:val="24"/>
        </w:rPr>
        <w:t>构建轻量级Harness，而非一开始就设计复杂框架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敏捷式推进</w:t>
      </w:r>
      <w:r>
        <w:rPr>
          <w:rFonts w:ascii="宋体" w:hAnsi="宋体" w:eastAsia="宋体"/>
          <w:b w:val="0"/>
          <w:color w:val="4472C4"/>
          <w:sz w:val="22"/>
        </w:rPr>
        <w:t>：先让Agent跑起来，发现问题再增加防御，而非事前设计完美框架。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七、实践成果展示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7.1 树莓派7×24小时运行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硬件：最便宜树莓派 + UPS扩展（应对家庭断电）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运行时间：持续运行，Agent在后台自动工作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效果：从每日人工干预 → 每周检查一次 → 长期无人值守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7.2 人类协作 vs Agent协作对照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站会（状态同步）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状态同步机制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看板（限制和拉动）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任务队列和并发控制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验收标准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完成定义（DoD）的自动化校验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复盘（经验沉淀）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防御规则固化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核心观点</w:t>
      </w:r>
      <w:r>
        <w:rPr>
          <w:rFonts w:ascii="宋体" w:hAnsi="宋体" w:eastAsia="宋体"/>
          <w:b w:val="0"/>
          <w:color w:val="4472C4"/>
          <w:sz w:val="22"/>
        </w:rPr>
        <w:t>：没有发明新东西，只是把人类十几年的协作管道变成了Agent可执行的管道。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7.3 人为提交 vs AI提交比例变化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指标：每周人为控制的Git提交数 / Agent自主提交数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趋势：人为提交比例</w:t>
      </w:r>
      <w:r>
        <w:rPr>
          <w:rFonts w:ascii="宋体" w:hAnsi="宋体" w:eastAsia="宋体"/>
          <w:b/>
          <w:sz w:val="24"/>
        </w:rPr>
        <w:t>逐周降低</w:t>
      </w:r>
      <w:r>
        <w:rPr>
          <w:rFonts w:ascii="宋体" w:hAnsi="宋体" w:eastAsia="宋体"/>
          <w:b w:val="0"/>
          <w:sz w:val="24"/>
        </w:rPr>
        <w:t>（如高速旋转的盘子，稳定后不需额外用力）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八、核心结论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驾驭是为了能走开。电网的终极产品不是电，而是你可以不再想电。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AI的终极状态应如电力一样</w:t>
      </w:r>
      <w:r>
        <w:rPr>
          <w:rFonts w:ascii="宋体" w:hAnsi="宋体" w:eastAsia="宋体"/>
          <w:b/>
          <w:sz w:val="24"/>
        </w:rPr>
        <w:t>消失在日常感知中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人类应回归：喝茶、聊天、休息、握手、拥抱——享受生活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干活的事应该让智能体去干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九、问答环节要点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Harness工程边界如何把握？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先让Agent尝试做大项目，发现hold不住的点再往回退；用CLI工具轻量起步，观察其边界和说假话的节点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多团队如何同步经验？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最佳团队1-2人，不需大群协作；需要协作是因为假设需要协作，但能力足够时可独立运行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遗留项目如何应用AI？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不建议一开始就用自动化工具，需先人工理解项目后再引入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十、资源获取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Agent Runner（开源/Apache 2.0）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GitHub下载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脱敏工具（开源/Rust核心）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GitHub下载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Ada Studio（企业版）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官网申请免费试用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备注：主讲人强调当前是大模型快速演进阶段，经验和方法论可能随技术迭代而更新。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